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C1" w:rsidRPr="007F37C1" w:rsidRDefault="007F37C1" w:rsidP="007F37C1">
      <w:pPr>
        <w:widowControl w:val="0"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ПЯТЫЙ СОЗЫВ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Седьмое заседание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от 19 июля 2012 г. N 35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ПОЛОЖЕНИЙ О ТЕРРИТОРИАЛЬНЫХ ОРГАНАХ АДМИНИСТРАЦИИ КАМЕНСКОГО ГОРОДСКОГО ОКРУГА </w:t>
      </w:r>
    </w:p>
    <w:p w:rsidR="007F37C1" w:rsidRPr="007F37C1" w:rsidRDefault="007F37C1" w:rsidP="007F37C1">
      <w:pPr>
        <w:spacing w:after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7C1" w:rsidRPr="007F37C1" w:rsidTr="00787A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6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proofErr w:type="gramEnd"/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7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8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9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 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17.02.2022 N 57, от 15.09.2022 N 138, от 17.08.2023 N 247,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от 16.11.2023  N 288,</w:t>
            </w:r>
            <w:r w:rsidRPr="007F37C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21.12.2023 N 312, от 21.12.2023 N 313,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10" w:history="1">
        <w:r w:rsidRPr="007F37C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7F37C1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Pr="007F37C1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решила: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1) Барабановская сельская администрация (</w:t>
      </w:r>
      <w:hyperlink w:anchor="P55" w:history="1">
        <w:r w:rsidRPr="007F37C1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);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2) Бродовская сельская администрация </w:t>
      </w:r>
      <w:hyperlink w:anchor="P19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3) Горноисетская сельская администрация </w:t>
      </w:r>
      <w:hyperlink w:anchor="P33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4) Кисловская сельская администрация </w:t>
      </w:r>
      <w:hyperlink w:anchor="P473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5) Клевакинская сельская администрация </w:t>
      </w:r>
      <w:hyperlink w:anchor="P613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6) Колчеданская сельская администрация </w:t>
      </w:r>
      <w:hyperlink w:anchor="P75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7) Маминская сельская администрация </w:t>
      </w:r>
      <w:hyperlink w:anchor="P891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8) Новоисетская сельская администрация </w:t>
      </w:r>
      <w:hyperlink w:anchor="P1031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lastRenderedPageBreak/>
        <w:t xml:space="preserve">9) Окуловская сельская администрация </w:t>
      </w:r>
      <w:hyperlink w:anchor="P116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10) Позарихинская сельская администрация </w:t>
      </w:r>
      <w:hyperlink w:anchor="P130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13) Сипавская сельская администрация </w:t>
      </w:r>
      <w:hyperlink w:anchor="P172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3" w:history="1">
        <w:r w:rsidRPr="007F37C1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Глава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В.Л.ЩЕЛКОНОГОВ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В.И.ЧЕМЕЗОВ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Приложение 1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 Решению Думы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55"/>
      <w:bookmarkEnd w:id="0"/>
      <w:r w:rsidRPr="007F37C1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О ТЕРРИТОРИАЛЬНОМ ОРГАНЕ АДМИНИСТРАЦИИ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 -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БАРАБАНОВСКАЯ СЕЛЬСКАЯ АДМИНИСТРАЦИЯ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7C1" w:rsidRPr="007F37C1" w:rsidTr="00787A1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Решения Думы Каменского городского округа от 17.02.2022 N 57, </w:t>
            </w:r>
            <w:proofErr w:type="gramEnd"/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от 15.09.2022 N 138, от 17.08.2023 N 247, от 16.11.2023  N 288,</w:t>
            </w:r>
            <w:r w:rsidRPr="007F37C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7F37C1" w:rsidRPr="007F37C1" w:rsidRDefault="007F37C1" w:rsidP="007F37C1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1.1. Барабановская сельская администрация (далее - Администрация) является территориальным органом Администрации Каменского городского округа,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4" w:history="1">
        <w:r w:rsidRPr="007F37C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1.2. В состав территории Барабановской сельской администрации входят исторически сложившиеся населенные пункты: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Барабановское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деревня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Гашенёва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деревня Комарова;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поселок Степной;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деревня Черемисская.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(п.1.2 в редакции Решения Думы Каменского городского округа от 15.09.2022 N 138)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5" w:history="1">
        <w:r w:rsidRPr="007F37C1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16" w:history="1">
        <w:r w:rsidRPr="007F37C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1.4. Местонахождение Администрации: Свердловская область, Каменский район, с.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Барабановское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>, ул. Кирова, 32.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Юридический и почтовый адреса Администрации: 623476, Свердловская область, Каменский район, с.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Барабановское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>, ул. Кирова, 32.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1.7. Администрация имеет официальное наименование на русском языке Территориальный орган Администрации Каменского городского округа - Барабановская сельская администрация.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1.8. Сокращенное наименование - Барабановская сельская администрация.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нести обязанности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>, быть истцом и ответчиком в суде.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"Барабановской сельской администрации муниципального образования "Каменский район".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2. ОСНОВНЫЕ ЗАДАЧИ АДМИНИСТРАЦИИ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6) управление муниципальной собственностью в пределах своей компетенции;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п.10.1. введен Решением Думы Каменского городского округа от 16.11.2023 N 288)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11) иные задачи в соответствии с федеральным и областным законодательством, </w:t>
      </w:r>
      <w:hyperlink r:id="rId17" w:history="1">
        <w:r w:rsidRPr="007F37C1">
          <w:rPr>
            <w:rFonts w:ascii="Liberation Serif" w:eastAsia="Calibri" w:hAnsi="Liberation Serif" w:cs="Liberation Serif"/>
            <w:color w:val="0000FF"/>
            <w:sz w:val="28"/>
            <w:szCs w:val="28"/>
            <w:lang w:eastAsia="en-US"/>
          </w:rPr>
          <w:t>Уставом</w:t>
        </w:r>
      </w:hyperlink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3. ПОЛНОМОЧИЯ АДМИНИСТРАЦИИ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 (объекты нежилого фонда), находящегося на праве оперативного управления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2) в области земельных отношений, охраны природы: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>, газо- и водоснабжения населения, водоотведения;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участвует в создании условий для организации транспортного обслуживания населения, развитие сре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>язи, общественного питания, торговли и бытового обслуживания;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предоставляет информацию о соблюдении на подведомственной территории требований, установленных муниципальными правовыми актами об осуществлении торговли в отведенных органом местного самоуправления для этого местах;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5.1) в области профилактики терроризма, минимизации и (или) ликвидации последствий его проявлений: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4) обеспечивает выполнение требований к антитеррористической защищенности объектов, находящихся в муниципальной собственности  или в ведении Администрации;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53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(подпункт  5.1. в редакции Решения Думы Каменского городского округа от 15.08.2024 № 390)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4. ПОЛНОМОЧИЯ ГЛАВЫ АДМИНИСТРАЦИИ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4.1. Администрацию возглавляет глава,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являющийся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4.4. Глава Администрации назначается на должность распоряжением Главы Каменского городского округа </w:t>
      </w:r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(пункт 4.4. в </w:t>
      </w:r>
      <w:proofErr w:type="spellStart"/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ред</w:t>
      </w:r>
      <w:proofErr w:type="gramStart"/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.Р</w:t>
      </w:r>
      <w:proofErr w:type="gramEnd"/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ешения</w:t>
      </w:r>
      <w:proofErr w:type="spellEnd"/>
      <w:r w:rsidRPr="007F37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Думы от 17.02.2022 №57)</w:t>
      </w:r>
    </w:p>
    <w:p w:rsidR="007F37C1" w:rsidRPr="007F37C1" w:rsidRDefault="007F37C1" w:rsidP="007F37C1">
      <w:pPr>
        <w:autoSpaceDE w:val="0"/>
        <w:autoSpaceDN w:val="0"/>
        <w:adjustRightInd w:val="0"/>
        <w:spacing w:after="16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F37C1">
        <w:rPr>
          <w:rFonts w:ascii="Liberation Serif" w:eastAsia="Calibri" w:hAnsi="Liberation Serif" w:cs="Liberation Serif"/>
          <w:sz w:val="28"/>
          <w:szCs w:val="28"/>
          <w:lang w:eastAsia="en-US"/>
        </w:rPr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4.6. Глава Администрации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подотчетен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в своей деятельности Главе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18" w:history="1">
        <w:r w:rsidRPr="007F37C1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13) представляет отчет и иные сведения об использовании бюджетных средств;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19" w:history="1">
        <w:r w:rsidRPr="007F37C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5. ФИНАНСОВО-ХОЗЯЙСТВЕННАЯ ДЕЯТЕЛЬНОСТЬ АДМИНИСТРАЦИИ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6. ЗАКЛЮЧИТЕЛЬНЫЕ ПОЛОЖЕНИЯ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:rsidR="007F37C1" w:rsidRPr="007F37C1" w:rsidRDefault="007F37C1" w:rsidP="007F37C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1180D" w:rsidRDefault="007F37C1">
      <w:bookmarkStart w:id="1" w:name="_GoBack"/>
      <w:bookmarkEnd w:id="1"/>
    </w:p>
    <w:sectPr w:rsidR="00D1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0C2A"/>
    <w:multiLevelType w:val="hybridMultilevel"/>
    <w:tmpl w:val="E1C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DA"/>
    <w:rsid w:val="0044500F"/>
    <w:rsid w:val="007F37C1"/>
    <w:rsid w:val="00A80ED9"/>
    <w:rsid w:val="00AF6FDA"/>
    <w:rsid w:val="00C63997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3" Type="http://schemas.openxmlformats.org/officeDocument/2006/relationships/hyperlink" Target="consultantplus://offline/ref=61AE4102ED9440738CE879F2CAA04BB6863A6765BEA748DCE849CEF2B334988D0D6AA094AB176E8FE74F7DE28D3E5733YB10F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2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17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11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2CBED663BC2F75A8C404640A115E1061E2BC0ABF1978E18F5DA02167FBC188E1FBD35170DB0E4D8214F9b7jAE" TargetMode="External"/><Relationship Id="rId10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9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4" Type="http://schemas.openxmlformats.org/officeDocument/2006/relationships/hyperlink" Target="consultantplus://offline/ref=432CBED663BC2F75A8C40472097D001A62E1E502B74D24B3835CA87330FB9DCDB7F2DA0D2D9F07528014FB79FFDE99383AC368F22557586D44CBB5C0b7j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3684</Words>
  <Characters>21000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ДУМА КАМЕНСКОГО ГОРОДСКОГО ОКРУГА</vt:lpstr>
      <vt:lpstr/>
      <vt:lpstr/>
      <vt:lpstr/>
      <vt:lpstr>Приложение 1</vt:lpstr>
      <vt:lpstr>    ОБЩИЕ ПОЛОЖЕНИЯ</vt:lpstr>
      <vt:lpstr>    2. ОСНОВНЫЕ ЗАДАЧИ АДМИНИСТРАЦИИ</vt:lpstr>
      <vt:lpstr>    3. ПОЛНОМОЧИЯ АДМИНИСТРАЦИИ</vt:lpstr>
      <vt:lpstr>    4. ПОЛНОМОЧИЯ ГЛАВЫ АДМИНИСТРАЦИИ</vt:lpstr>
      <vt:lpstr>    5. ФИНАНСОВО-ХОЗЯЙСТВЕННАЯ ДЕЯТЕЛЬНОСТЬ АДМИНИСТРАЦИИ</vt:lpstr>
      <vt:lpstr>    6. ЗАКЛЮЧИТЕЛЬНЫЕ ПОЛОЖЕНИЯ</vt:lpstr>
    </vt:vector>
  </TitlesOfParts>
  <Company/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2024-08-30T05:39:00Z</dcterms:created>
  <dcterms:modified xsi:type="dcterms:W3CDTF">2024-08-30T05:40:00Z</dcterms:modified>
</cp:coreProperties>
</file>