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8A0086">
        <w:rPr>
          <w:rFonts w:ascii="Liberation Serif" w:eastAsia="Times New Roman" w:hAnsi="Liberation Serif" w:cs="Liberation Serif"/>
          <w:lang w:eastAsia="ru-RU"/>
        </w:rPr>
        <w:t>15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ноября 2022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8A0086" w:rsidRPr="008A0086">
        <w:rPr>
          <w:rFonts w:ascii="Liberation Serif" w:eastAsia="Times New Roman" w:hAnsi="Liberation Serif" w:cs="Liberation Serif"/>
          <w:lang w:eastAsia="ru-RU"/>
        </w:rPr>
        <w:t>постановления Главы муниципального образования «Каменский городской округ» «О внесении изменений в постановление Главы Каменского городского округа от 17 марта 2022 года № 443 «Об утверждении Перечня должностей муниципальной службы Каменского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(в редакции от 07.06.2022 № 1093).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CE" w:rsidRDefault="002D51CE">
      <w:r>
        <w:separator/>
      </w:r>
    </w:p>
  </w:endnote>
  <w:endnote w:type="continuationSeparator" w:id="0">
    <w:p w:rsidR="002D51CE" w:rsidRDefault="002D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2D5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CE" w:rsidRDefault="002D51CE">
      <w:r>
        <w:separator/>
      </w:r>
    </w:p>
  </w:footnote>
  <w:footnote w:type="continuationSeparator" w:id="0">
    <w:p w:rsidR="002D51CE" w:rsidRDefault="002D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2D51CE">
    <w:pPr>
      <w:pStyle w:val="a3"/>
      <w:jc w:val="center"/>
    </w:pPr>
  </w:p>
  <w:p w:rsidR="00D71E43" w:rsidRDefault="002D5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1958A4"/>
    <w:rsid w:val="001C0743"/>
    <w:rsid w:val="001D6ABE"/>
    <w:rsid w:val="0025082E"/>
    <w:rsid w:val="00271E86"/>
    <w:rsid w:val="002B2049"/>
    <w:rsid w:val="002D51CE"/>
    <w:rsid w:val="00335F02"/>
    <w:rsid w:val="00336B31"/>
    <w:rsid w:val="003C0190"/>
    <w:rsid w:val="003E213F"/>
    <w:rsid w:val="004128E6"/>
    <w:rsid w:val="004D1CC3"/>
    <w:rsid w:val="005972EA"/>
    <w:rsid w:val="005F7D45"/>
    <w:rsid w:val="006318CB"/>
    <w:rsid w:val="00665305"/>
    <w:rsid w:val="006D2EBF"/>
    <w:rsid w:val="006F6984"/>
    <w:rsid w:val="0076056C"/>
    <w:rsid w:val="00760EAF"/>
    <w:rsid w:val="007841E9"/>
    <w:rsid w:val="00784FDB"/>
    <w:rsid w:val="00795F3E"/>
    <w:rsid w:val="007B1069"/>
    <w:rsid w:val="007D126F"/>
    <w:rsid w:val="007D6430"/>
    <w:rsid w:val="00840C4B"/>
    <w:rsid w:val="008A0086"/>
    <w:rsid w:val="008F232D"/>
    <w:rsid w:val="00901589"/>
    <w:rsid w:val="00921957"/>
    <w:rsid w:val="00955068"/>
    <w:rsid w:val="009904E8"/>
    <w:rsid w:val="00A0386F"/>
    <w:rsid w:val="00A123E7"/>
    <w:rsid w:val="00A22156"/>
    <w:rsid w:val="00AB6F64"/>
    <w:rsid w:val="00AF24D1"/>
    <w:rsid w:val="00B1442E"/>
    <w:rsid w:val="00B67C5F"/>
    <w:rsid w:val="00B93A53"/>
    <w:rsid w:val="00BC3223"/>
    <w:rsid w:val="00C33FCD"/>
    <w:rsid w:val="00C36357"/>
    <w:rsid w:val="00C65875"/>
    <w:rsid w:val="00C714AD"/>
    <w:rsid w:val="00D341E7"/>
    <w:rsid w:val="00DC316C"/>
    <w:rsid w:val="00DD2D9C"/>
    <w:rsid w:val="00E213F1"/>
    <w:rsid w:val="00E66AE3"/>
    <w:rsid w:val="00E82EB0"/>
    <w:rsid w:val="00E95A22"/>
    <w:rsid w:val="00ED1A84"/>
    <w:rsid w:val="00ED46E1"/>
    <w:rsid w:val="00EE0744"/>
    <w:rsid w:val="00EF5B46"/>
    <w:rsid w:val="00F04E96"/>
    <w:rsid w:val="00F06CF6"/>
    <w:rsid w:val="00F46129"/>
    <w:rsid w:val="00FB7B2E"/>
    <w:rsid w:val="00FE137A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1FE8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2022-11-15T10:58:00Z</dcterms:created>
  <dcterms:modified xsi:type="dcterms:W3CDTF">2022-11-15T10:58:00Z</dcterms:modified>
</cp:coreProperties>
</file>