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835" w:rsidRPr="00B43835" w:rsidRDefault="00B43835" w:rsidP="00B43835">
      <w:pPr>
        <w:tabs>
          <w:tab w:val="left" w:pos="5387"/>
        </w:tabs>
        <w:ind w:left="5387"/>
        <w:outlineLvl w:val="0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B43835">
        <w:rPr>
          <w:rFonts w:ascii="Liberation Serif" w:hAnsi="Liberation Serif" w:cs="Liberation Serif"/>
          <w:sz w:val="28"/>
          <w:szCs w:val="28"/>
        </w:rPr>
        <w:t xml:space="preserve">Утверждено </w:t>
      </w:r>
    </w:p>
    <w:p w:rsidR="00B43835" w:rsidRPr="00B43835" w:rsidRDefault="00B43835" w:rsidP="00B43835">
      <w:pPr>
        <w:tabs>
          <w:tab w:val="left" w:pos="5387"/>
        </w:tabs>
        <w:ind w:left="5387"/>
        <w:outlineLvl w:val="0"/>
        <w:rPr>
          <w:rFonts w:ascii="Liberation Serif" w:hAnsi="Liberation Serif" w:cs="Liberation Serif"/>
          <w:sz w:val="28"/>
          <w:szCs w:val="28"/>
        </w:rPr>
      </w:pPr>
      <w:r w:rsidRPr="00B43835">
        <w:rPr>
          <w:rFonts w:ascii="Liberation Serif" w:hAnsi="Liberation Serif" w:cs="Liberation Serif"/>
          <w:sz w:val="28"/>
          <w:szCs w:val="28"/>
        </w:rPr>
        <w:t xml:space="preserve">Постановлением Главы МО «Каменский городской округ» </w:t>
      </w:r>
    </w:p>
    <w:p w:rsidR="00B43835" w:rsidRPr="00B43835" w:rsidRDefault="00B43835" w:rsidP="00B43835">
      <w:pPr>
        <w:tabs>
          <w:tab w:val="left" w:pos="5387"/>
        </w:tabs>
        <w:ind w:left="5387"/>
        <w:outlineLvl w:val="0"/>
        <w:rPr>
          <w:rFonts w:ascii="Liberation Serif" w:hAnsi="Liberation Serif" w:cs="Liberation Serif"/>
          <w:sz w:val="28"/>
          <w:szCs w:val="28"/>
        </w:rPr>
      </w:pPr>
      <w:r w:rsidRPr="00B43835">
        <w:rPr>
          <w:rFonts w:ascii="Liberation Serif" w:hAnsi="Liberation Serif" w:cs="Liberation Serif"/>
          <w:sz w:val="28"/>
          <w:szCs w:val="28"/>
        </w:rPr>
        <w:t>от __.___.2022 г. № _________</w:t>
      </w:r>
    </w:p>
    <w:p w:rsidR="00B43835" w:rsidRPr="00B43835" w:rsidRDefault="00B43835" w:rsidP="00B43835">
      <w:pPr>
        <w:tabs>
          <w:tab w:val="left" w:pos="5387"/>
        </w:tabs>
        <w:ind w:left="5387"/>
        <w:outlineLvl w:val="0"/>
        <w:rPr>
          <w:rFonts w:ascii="Liberation Serif" w:hAnsi="Liberation Serif" w:cs="Liberation Serif"/>
          <w:sz w:val="28"/>
          <w:szCs w:val="28"/>
        </w:rPr>
      </w:pPr>
      <w:r w:rsidRPr="00B43835">
        <w:rPr>
          <w:rFonts w:ascii="Liberation Serif" w:hAnsi="Liberation Serif" w:cs="Liberation Serif"/>
          <w:spacing w:val="-1"/>
          <w:sz w:val="28"/>
          <w:szCs w:val="28"/>
        </w:rPr>
        <w:t>«О внесении изменений в постановление Главы МО «Каменский городской округ» от 23.11.2021 № 1972 «Об утверждении Положения о единой дежурно-диспетчерской службе Каменского городского округа»</w:t>
      </w:r>
      <w:r w:rsidRPr="00B43835">
        <w:rPr>
          <w:rFonts w:ascii="Liberation Serif" w:hAnsi="Liberation Serif" w:cs="Liberation Serif"/>
          <w:sz w:val="28"/>
          <w:szCs w:val="28"/>
        </w:rPr>
        <w:t>»</w:t>
      </w:r>
    </w:p>
    <w:p w:rsidR="00356DED" w:rsidRPr="00B43835" w:rsidRDefault="00356DED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81353E" w:rsidRPr="00B43835" w:rsidRDefault="0081353E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81353E" w:rsidRPr="00B43835" w:rsidRDefault="0081353E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786FE1" w:rsidRPr="00B43835" w:rsidRDefault="003D62C4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ПОРЯДОК</w:t>
      </w:r>
    </w:p>
    <w:p w:rsidR="00786FE1" w:rsidRPr="00B43835" w:rsidRDefault="003D62C4">
      <w:pPr>
        <w:pStyle w:val="30"/>
        <w:shd w:val="clear" w:color="auto" w:fill="auto"/>
        <w:spacing w:before="0"/>
        <w:ind w:right="20"/>
        <w:rPr>
          <w:rFonts w:ascii="Liberation Serif" w:hAnsi="Liberation Serif" w:cs="Liberation Serif"/>
          <w:b w:val="0"/>
        </w:rPr>
      </w:pPr>
      <w:r w:rsidRPr="00B43835">
        <w:rPr>
          <w:rFonts w:ascii="Liberation Serif" w:hAnsi="Liberation Serif" w:cs="Liberation Serif"/>
          <w:b w:val="0"/>
        </w:rPr>
        <w:t>обеспечения на муниципальном уровне един</w:t>
      </w:r>
      <w:r w:rsidR="00A27645" w:rsidRPr="00B43835">
        <w:rPr>
          <w:rFonts w:ascii="Liberation Serif" w:hAnsi="Liberation Serif" w:cs="Liberation Serif"/>
          <w:b w:val="0"/>
        </w:rPr>
        <w:t>ой</w:t>
      </w:r>
      <w:r w:rsidRPr="00B43835">
        <w:rPr>
          <w:rFonts w:ascii="Liberation Serif" w:hAnsi="Liberation Serif" w:cs="Liberation Serif"/>
          <w:b w:val="0"/>
        </w:rPr>
        <w:t xml:space="preserve"> дежурно-диспетчерск</w:t>
      </w:r>
      <w:r w:rsidR="00A27645" w:rsidRPr="00B43835">
        <w:rPr>
          <w:rFonts w:ascii="Liberation Serif" w:hAnsi="Liberation Serif" w:cs="Liberation Serif"/>
          <w:b w:val="0"/>
        </w:rPr>
        <w:t>ой</w:t>
      </w:r>
      <w:r w:rsidRPr="00B43835">
        <w:rPr>
          <w:rFonts w:ascii="Liberation Serif" w:hAnsi="Liberation Serif" w:cs="Liberation Serif"/>
          <w:b w:val="0"/>
        </w:rPr>
        <w:t xml:space="preserve"> служб</w:t>
      </w:r>
      <w:r w:rsidR="00A27645" w:rsidRPr="00B43835">
        <w:rPr>
          <w:rFonts w:ascii="Liberation Serif" w:hAnsi="Liberation Serif" w:cs="Liberation Serif"/>
          <w:b w:val="0"/>
        </w:rPr>
        <w:t>ой</w:t>
      </w:r>
      <w:r w:rsidRPr="00B43835">
        <w:rPr>
          <w:rFonts w:ascii="Liberation Serif" w:hAnsi="Liberation Serif" w:cs="Liberation Serif"/>
          <w:b w:val="0"/>
        </w:rPr>
        <w:t xml:space="preserve"> </w:t>
      </w:r>
      <w:r w:rsidR="00A27645" w:rsidRPr="00B43835">
        <w:rPr>
          <w:rFonts w:ascii="Liberation Serif" w:hAnsi="Liberation Serif" w:cs="Liberation Serif"/>
          <w:b w:val="0"/>
        </w:rPr>
        <w:t xml:space="preserve">МО «Каменский ГО» </w:t>
      </w:r>
      <w:r w:rsidRPr="00B43835">
        <w:rPr>
          <w:rFonts w:ascii="Liberation Serif" w:hAnsi="Liberation Serif" w:cs="Liberation Serif"/>
          <w:b w:val="0"/>
        </w:rPr>
        <w:t xml:space="preserve">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исполнительных органов государственной власти Свердловской области, органов местного самоуправления </w:t>
      </w:r>
      <w:r w:rsidR="00A27645" w:rsidRPr="00B43835">
        <w:rPr>
          <w:rFonts w:ascii="Liberation Serif" w:hAnsi="Liberation Serif" w:cs="Liberation Serif"/>
          <w:b w:val="0"/>
        </w:rPr>
        <w:t>МО «Каменский ГО»</w:t>
      </w:r>
      <w:r w:rsidRPr="00B43835">
        <w:rPr>
          <w:rFonts w:ascii="Liberation Serif" w:hAnsi="Liberation Serif" w:cs="Liberation Serif"/>
          <w:b w:val="0"/>
        </w:rPr>
        <w:t xml:space="preserve">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999"/>
        </w:tabs>
        <w:spacing w:before="0" w:after="0" w:line="322" w:lineRule="exact"/>
        <w:ind w:left="20" w:right="4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Настоящий порядок определяет правила исполнения на муниципальном уровне един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ой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дежурно-диспетчерск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ой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служб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ой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Каменского городского округа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, (далее - ЕДДС), функций по обеспечению:</w:t>
      </w:r>
    </w:p>
    <w:p w:rsidR="00786FE1" w:rsidRPr="00B43835" w:rsidRDefault="003D62C4">
      <w:pPr>
        <w:pStyle w:val="11"/>
        <w:numPr>
          <w:ilvl w:val="0"/>
          <w:numId w:val="5"/>
        </w:numPr>
        <w:shd w:val="clear" w:color="auto" w:fill="auto"/>
        <w:tabs>
          <w:tab w:val="left" w:pos="1023"/>
        </w:tabs>
        <w:spacing w:before="0" w:after="0" w:line="322" w:lineRule="exact"/>
        <w:ind w:left="20" w:right="4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координации деятельности органов повседневного управления единой государственной системы предупреждения и ликвидации чрезвычайных ситуаций (далее - РСЧС) и органов управления гражданской обороной (далее - ГО) (в том числе управления силами и средствами РСЧС и ГО) (далее - координация деятельности);</w:t>
      </w:r>
    </w:p>
    <w:p w:rsidR="00786FE1" w:rsidRPr="00B43835" w:rsidRDefault="003D62C4">
      <w:pPr>
        <w:pStyle w:val="11"/>
        <w:numPr>
          <w:ilvl w:val="0"/>
          <w:numId w:val="5"/>
        </w:numPr>
        <w:shd w:val="clear" w:color="auto" w:fill="auto"/>
        <w:tabs>
          <w:tab w:val="left" w:pos="1023"/>
        </w:tabs>
        <w:spacing w:before="0" w:after="0" w:line="322" w:lineRule="exact"/>
        <w:ind w:left="20" w:right="4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организации информационного взаимодействия территориальных органов федеральных органов исполнительной власти, исполнительных органов государственной власти Свердловской области, органов местного самоуправления муниципальн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ого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образовани</w:t>
      </w:r>
      <w:r w:rsidR="00A94AA5" w:rsidRPr="00B43835">
        <w:rPr>
          <w:rFonts w:ascii="Liberation Serif" w:hAnsi="Liberation Serif" w:cs="Liberation Serif"/>
          <w:b w:val="0"/>
          <w:sz w:val="28"/>
          <w:szCs w:val="28"/>
        </w:rPr>
        <w:t>я «Каменский городской округ»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, (далее </w:t>
      </w:r>
      <w:r w:rsidR="002E012A" w:rsidRPr="00B43835">
        <w:rPr>
          <w:rFonts w:ascii="Liberation Serif" w:hAnsi="Liberation Serif" w:cs="Liberation Serif"/>
          <w:b w:val="0"/>
          <w:sz w:val="28"/>
          <w:szCs w:val="28"/>
        </w:rPr>
        <w:t>–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2E012A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), и организаций при решении задач в области защиты населения и территорий от чрезвычайных ситуаций (далее - ЧС) и ГО, а также при осуществлении мер информационной поддержки принятия решений в области защиты населения и территорий от ЧС и ГО (далее - информационное взаимодействие).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09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Координация деятельности и организация информационного взаимодействия осуществляются в целях: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снижения рисков и смягчения последствий ЧС природного и техногенного характера, заблаговременной подготовки к ведению ГО;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lastRenderedPageBreak/>
        <w:t>поддержания готовности к действиям органов повседневного управления РСЧС и органов управления ГО;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23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достижения согласованных действий органов повседневного управления РСЧС при выполнении мероприятий по предупреждению и ликвидации ЧС природного и техногенного характера и органов управления ГО при подготовке к ведению и ведении ГО;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осуществления мониторинга опасных природных явлений и техногенных процессов, способных привести к возникновению ЧС, прогнозирования ЧС, а также оценки их социально-экономических последствий;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3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своевременного информирования органов повседневного управления РСЧС и органов управления ГО о прогнозируемых и возникших ЧС;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8"/>
        </w:tabs>
        <w:spacing w:before="0" w:after="0" w:line="322" w:lineRule="exact"/>
        <w:ind w:lef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информационного обмена в рамках РСЧС;</w:t>
      </w:r>
    </w:p>
    <w:p w:rsidR="00786FE1" w:rsidRPr="00B43835" w:rsidRDefault="003D62C4">
      <w:pPr>
        <w:pStyle w:val="11"/>
        <w:numPr>
          <w:ilvl w:val="0"/>
          <w:numId w:val="6"/>
        </w:numPr>
        <w:shd w:val="clear" w:color="auto" w:fill="auto"/>
        <w:tabs>
          <w:tab w:val="left" w:pos="1038"/>
        </w:tabs>
        <w:spacing w:before="0" w:after="0" w:line="322" w:lineRule="exact"/>
        <w:ind w:lef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сбора и обмена информацией в области ГО.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1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Обеспечение координации деятельности и организации информационного взаимодействия осуществляется в следующих формах: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3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сбор сведений о выполнении органами повседневного управления РСЧС и органами управления ГО мероприятий, проводимых при угрозе возникновения или возникновении ЧС, а также при подготовке к ведению и ведении ГО;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33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сбор, обработка и обмен информацией в области защиты населения и территорий от ЧС и ГО между органами повседневного управления РСЧС и органами управления ГО;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3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взаимное использование имеющихся информационных систем и ресурсов, в том числе паспортов территорий, характеризующих риски возникновения ЧС и происшествий на территори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и 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заключение и своевременная корректировка соглашений и регламентов о реагировании на ЧС (происшествия) и информационном взаимодействии с дежурно-диспетчерскими службами (далее - ДДС) экстренных оперативных служб;</w:t>
      </w:r>
    </w:p>
    <w:p w:rsidR="00786FE1" w:rsidRPr="00B43835" w:rsidRDefault="003D62C4">
      <w:pPr>
        <w:pStyle w:val="11"/>
        <w:numPr>
          <w:ilvl w:val="0"/>
          <w:numId w:val="7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09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ЕДДС при обеспечении координации деятельности и организации информационного взаимодействия:</w:t>
      </w:r>
    </w:p>
    <w:p w:rsidR="00786FE1" w:rsidRPr="00B43835" w:rsidRDefault="003D62C4">
      <w:pPr>
        <w:pStyle w:val="11"/>
        <w:numPr>
          <w:ilvl w:val="0"/>
          <w:numId w:val="8"/>
        </w:numPr>
        <w:shd w:val="clear" w:color="auto" w:fill="auto"/>
        <w:tabs>
          <w:tab w:val="left" w:pos="1023"/>
        </w:tabs>
        <w:spacing w:before="0" w:after="0" w:line="322" w:lineRule="exact"/>
        <w:ind w:lef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в режиме повседневной деятельности: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координиру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деятельность органов повседневного управления РСЧС в пределах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bCs w:val="0"/>
          <w:sz w:val="28"/>
          <w:szCs w:val="28"/>
        </w:rPr>
        <w:t>организу</w:t>
      </w:r>
      <w:r w:rsidR="008F6D70" w:rsidRPr="00B43835">
        <w:rPr>
          <w:rFonts w:ascii="Liberation Serif" w:hAnsi="Liberation Serif" w:cs="Liberation Serif"/>
          <w:b w:val="0"/>
          <w:bCs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т 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прием от органов повседневного управления РСЧС информации (сообщений) об угрозе или факте возникновения ЧС (происшествия);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довод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и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полученную информацию об угрозе или факте возникновения ЧС (происшествия) до ДДС экстренной оперативной службы, в компетенцию которой входит реагирование на принятое сообщение;</w:t>
      </w:r>
    </w:p>
    <w:p w:rsidR="008F6D70" w:rsidRPr="00B43835" w:rsidRDefault="003D62C4" w:rsidP="008F6D70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обобщение и анализ информации о ЧС (происшествиях); </w:t>
      </w:r>
    </w:p>
    <w:p w:rsidR="00786FE1" w:rsidRPr="00B43835" w:rsidRDefault="003D62C4" w:rsidP="008F6D70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уточня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и корректиру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действия ДДС экстренных оперативных служб, привлеченных к реагированию на вызовы (сообщения о происшествиях), поступившие по единому номеру «112»;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провод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и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сбор сведений о результатах реагирования на территории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на вызовы (сообщения о происшествиях), поступившие по единому номеру «112»;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lastRenderedPageBreak/>
        <w:t>направля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полученные от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 xml:space="preserve">Центра 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 (далее - ЦУКС) прогнозы об угрозах возникновения ЧС и модели развития обстановки по неблагоприятному прогнозу в пределах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в органы повседневного управления РСЧС по принадлежности;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ежедневно корректиру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электронные паспорта территорий (объектов) согласно разработанному графику плановой проверки и корректировки электронных паспортов территорий (объектов) </w:t>
      </w:r>
      <w:r w:rsidR="008F6D70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numPr>
          <w:ilvl w:val="0"/>
          <w:numId w:val="8"/>
        </w:numPr>
        <w:shd w:val="clear" w:color="auto" w:fill="auto"/>
        <w:tabs>
          <w:tab w:val="left" w:pos="1018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при угрозе возникновения ЧС: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взаимодействие с руководителями соответствующих служб по вопросам подготовки сил и средств РСЧС, ДДС экстренных оперативных служб и ДДС организаций к действиям в случае возникновения 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передачу информации об угрозе возникновения ЧС (происшествия) в ДДС экстренных оперативных служб, которые в обязательном порядке направляются к месту ЧС (происшествия);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color w:val="FF000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передачу информации об угрозе возникновения ЧС (происшествия) в </w:t>
      </w:r>
      <w:r w:rsidRPr="00B43835">
        <w:rPr>
          <w:rFonts w:ascii="Liberation Serif" w:hAnsi="Liberation Serif" w:cs="Liberation Serif"/>
          <w:b w:val="0"/>
          <w:color w:val="FF0000"/>
          <w:sz w:val="28"/>
          <w:szCs w:val="28"/>
        </w:rPr>
        <w:t>ЦУКС;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принима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участие в корректировке планов взаимодействия с соответствующими ДДС экстренных оперативных служб, силами и средствами РСЧС, действующими на территории 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, в целях предотвращения 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координиру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действия ДДС экстренных оперативных служб и ДДС организаций, сил и средств РСЧС при принятии ими экстренных мер по предотвращению ЧС или смягчению ее последствий;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корректировку электронных паспортов территорий (объектов) 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и представляют их в ЦУКС;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направля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в ЦУКС сведения о проведенных превентивных мероприятиях в соответствии с полученным прогнозом возможных ЧС;</w:t>
      </w:r>
    </w:p>
    <w:p w:rsidR="00786FE1" w:rsidRPr="00B43835" w:rsidRDefault="003D62C4">
      <w:pPr>
        <w:pStyle w:val="11"/>
        <w:numPr>
          <w:ilvl w:val="0"/>
          <w:numId w:val="8"/>
        </w:numPr>
        <w:shd w:val="clear" w:color="auto" w:fill="auto"/>
        <w:tabs>
          <w:tab w:val="left" w:pos="1013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при возникновении ЧС: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немедленное оповещение и направление к месту ЧС сил и средств РСЧС, привлекаемых к ликвидации ЧС, 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координацию их усилий по предотвращению и ликвидации ЧС, а также реагированию на ЧС после получения необходимых данных;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сбор, обработку, уточнение и представление оперативной информации о развитии ЧС, а также оперативное управление действиями ДДС экстренных оперативных служб и ДДС организаций, привлекаемых к ликвидации ЧС, сил и средств РСЧС;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осуществля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привлечение аварийно-восстановительных служб, нештатных аварийно-спасательных формирований и иных организаций к мероприятиям по проведению аварийно-восстановительных работ в зоне ЧС, если возникшая обстановка не дает возможности для согласования экстренных действий с вышестоящими органами управления РСЧС;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готов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и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и представля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в вышестоящие органы управления РСЧС по подчиненности, а также в ЦУКС доклады и донесения о ЧС;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вед</w:t>
      </w:r>
      <w:r w:rsidR="00A22337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учет сил и средств областной РСЧС, привлекаемых к ликвидации ЧС;</w:t>
      </w:r>
    </w:p>
    <w:p w:rsidR="00786FE1" w:rsidRPr="00B43835" w:rsidRDefault="003D62C4">
      <w:pPr>
        <w:pStyle w:val="11"/>
        <w:numPr>
          <w:ilvl w:val="0"/>
          <w:numId w:val="8"/>
        </w:numPr>
        <w:shd w:val="clear" w:color="auto" w:fill="auto"/>
        <w:tabs>
          <w:tab w:val="left" w:pos="1042"/>
        </w:tabs>
        <w:spacing w:before="0" w:after="0" w:line="322" w:lineRule="exact"/>
        <w:ind w:lef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при подготовке к ведению и при ведении ГО: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lastRenderedPageBreak/>
        <w:t>при получении сигналов оповещения, экстренной информации, подтвержда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т ее получение у вышестоящего органа управления ГО;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оповещение руководящего состава ГО 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, сил ГО, дежурных служб (руководителей) социально значимых объектов;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обеспечива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оповещение населения, находящегося на территории 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организу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прием от организаций, расположенных на территории 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, информации по выполнению мероприятий ГО с доведением ее до органа управления ГО </w:t>
      </w:r>
      <w:r w:rsidR="00A211EF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B43835" w:rsidRDefault="003D62C4">
      <w:pPr>
        <w:pStyle w:val="11"/>
        <w:shd w:val="clear" w:color="auto" w:fill="auto"/>
        <w:spacing w:before="0" w:after="0" w:line="322" w:lineRule="exact"/>
        <w:ind w:lef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ведут учет сил и средств ГО, привлекаемых к выполнению мероприятий ГО.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24"/>
        </w:tabs>
        <w:spacing w:before="0" w:after="0" w:line="322" w:lineRule="exact"/>
        <w:ind w:left="40" w:righ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При обеспечении координации деятельности и организации информационного взаимодействия в рамках соглашений и регламентов об осуществлении информационного обмена и взаимодействия при решении задач по предупреждению и ликвидации ЧС ЕДДС име</w:t>
      </w:r>
      <w:r w:rsidR="00A27645" w:rsidRPr="00B43835">
        <w:rPr>
          <w:rFonts w:ascii="Liberation Serif" w:hAnsi="Liberation Serif" w:cs="Liberation Serif"/>
          <w:b w:val="0"/>
          <w:sz w:val="28"/>
          <w:szCs w:val="28"/>
        </w:rPr>
        <w:t>е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т право запрашивать и получать информацию в области защиты населения и территорий от ЧС и ГО на территории </w:t>
      </w:r>
      <w:r w:rsidR="00A27645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через органы повседневного управления территориальных органов федеральных органов исполнительной власти, государственных корпораций, исполнительных органов государственной власти Свердловской области, организаций, ДДС экстренных оперативных служб, других организаций (подразделений), обеспечивающие деятельность </w:t>
      </w:r>
      <w:r w:rsidR="00A27645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в области защиты населения и территорий от ЧС, обмен информацией и оповещение населения о ЧС, управление силами и средствами, предназначенными и привлекаемыми для предупреждения и ликвидации ЧС.</w:t>
      </w:r>
    </w:p>
    <w:p w:rsidR="00786FE1" w:rsidRPr="00B43835" w:rsidRDefault="003D62C4">
      <w:pPr>
        <w:pStyle w:val="11"/>
        <w:numPr>
          <w:ilvl w:val="0"/>
          <w:numId w:val="4"/>
        </w:numPr>
        <w:shd w:val="clear" w:color="auto" w:fill="auto"/>
        <w:tabs>
          <w:tab w:val="left" w:pos="1014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Органы повседневного управления территориальных органов федеральных органов исполнительной власти, государственных корпораций, исполнительных органов государственной власти Свердловской области, органы управления ГО, ДДС экстренных оперативных служб, другие организации (подразделения), обеспечивающие деятельность </w:t>
      </w:r>
      <w:r w:rsidR="00A27645" w:rsidRPr="00B43835">
        <w:rPr>
          <w:rFonts w:ascii="Liberation Serif" w:hAnsi="Liberation Serif" w:cs="Liberation Serif"/>
          <w:b w:val="0"/>
          <w:sz w:val="28"/>
          <w:szCs w:val="28"/>
        </w:rPr>
        <w:t>МО «Каменский ГО»</w:t>
      </w:r>
      <w:r w:rsidRPr="00B43835">
        <w:rPr>
          <w:rFonts w:ascii="Liberation Serif" w:hAnsi="Liberation Serif" w:cs="Liberation Serif"/>
          <w:b w:val="0"/>
          <w:sz w:val="28"/>
          <w:szCs w:val="28"/>
        </w:rPr>
        <w:t xml:space="preserve"> в области защиты населения и территорий от ЧС, обмен информацией и оповещение населения о ЧС, управление силами и средствами, предназначенными и привлекаемыми для предупреждения и ликвидации ЧС, в рамках соглашений и регламентов об осуществлении информационного обмена и взаимодействия при решении задач по предупреждению и ликвидации ЧС:</w:t>
      </w:r>
    </w:p>
    <w:p w:rsidR="00786FE1" w:rsidRPr="00B43835" w:rsidRDefault="003D62C4">
      <w:pPr>
        <w:pStyle w:val="11"/>
        <w:numPr>
          <w:ilvl w:val="0"/>
          <w:numId w:val="9"/>
        </w:numPr>
        <w:shd w:val="clear" w:color="auto" w:fill="auto"/>
        <w:tabs>
          <w:tab w:val="left" w:pos="1062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представляют в ЕДДС информацию об угрозах и фактах возникновения ЧС, принимаемых мерах по защите населения и территорий от ЧС, проведении аварийно-спасательных и других неотложных работ, силах и средствах, задействованных в ликвидации ЧС, а также информацию в области защиты населения и территорий от ЧС и ГО и обеспечения пожарной безопасности и безопасности людей на водных объектах с учетом требований законодательства Российской Федерации в области защиты информации;</w:t>
      </w:r>
    </w:p>
    <w:p w:rsidR="00786FE1" w:rsidRPr="00B43835" w:rsidRDefault="003D62C4">
      <w:pPr>
        <w:pStyle w:val="11"/>
        <w:numPr>
          <w:ilvl w:val="0"/>
          <w:numId w:val="9"/>
        </w:numPr>
        <w:shd w:val="clear" w:color="auto" w:fill="auto"/>
        <w:tabs>
          <w:tab w:val="left" w:pos="1052"/>
        </w:tabs>
        <w:spacing w:before="0" w:after="0" w:line="322" w:lineRule="exact"/>
        <w:ind w:left="20" w:right="20" w:firstLine="72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B43835">
        <w:rPr>
          <w:rFonts w:ascii="Liberation Serif" w:hAnsi="Liberation Serif" w:cs="Liberation Serif"/>
          <w:b w:val="0"/>
          <w:sz w:val="28"/>
          <w:szCs w:val="28"/>
        </w:rPr>
        <w:t>обеспечивают информационный обмен в соответствии с установленными едиными стандартами обмена информацией в области защиты населения и территорий от ЧС и ГО.</w:t>
      </w:r>
    </w:p>
    <w:sectPr w:rsidR="00786FE1" w:rsidRPr="00B43835">
      <w:headerReference w:type="default" r:id="rId7"/>
      <w:type w:val="continuous"/>
      <w:pgSz w:w="11909" w:h="16838"/>
      <w:pgMar w:top="781" w:right="980" w:bottom="513" w:left="99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14D" w:rsidRDefault="005F014D">
      <w:r>
        <w:separator/>
      </w:r>
    </w:p>
  </w:endnote>
  <w:endnote w:type="continuationSeparator" w:id="0">
    <w:p w:rsidR="005F014D" w:rsidRDefault="005F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14D" w:rsidRDefault="005F014D"/>
  </w:footnote>
  <w:footnote w:type="continuationSeparator" w:id="0">
    <w:p w:rsidR="005F014D" w:rsidRDefault="005F014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FE1" w:rsidRDefault="0082459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3737610</wp:posOffset>
              </wp:positionH>
              <wp:positionV relativeFrom="page">
                <wp:posOffset>313690</wp:posOffset>
              </wp:positionV>
              <wp:extent cx="86360" cy="196850"/>
              <wp:effectExtent l="381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6FE1" w:rsidRDefault="003D62C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75D3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3pt;margin-top:24.7pt;width:6.8pt;height:15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" filled="f" stroked="f">
              <v:textbox style="mso-fit-shape-to-text:t" inset="0,0,0,0">
                <w:txbxContent>
                  <w:p w:rsidR="00786FE1" w:rsidRDefault="003D62C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75D3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E2EDF"/>
    <w:multiLevelType w:val="multilevel"/>
    <w:tmpl w:val="CFA6A8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8D1DA3"/>
    <w:multiLevelType w:val="multilevel"/>
    <w:tmpl w:val="618CB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C35DCA"/>
    <w:multiLevelType w:val="multilevel"/>
    <w:tmpl w:val="A62C8B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E535AC"/>
    <w:multiLevelType w:val="multilevel"/>
    <w:tmpl w:val="0CD45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911BEF"/>
    <w:multiLevelType w:val="multilevel"/>
    <w:tmpl w:val="C668F9F2"/>
    <w:lvl w:ilvl="0">
      <w:start w:val="1"/>
      <w:numFmt w:val="decimal"/>
      <w:lvlText w:val="%1)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D60659"/>
    <w:multiLevelType w:val="multilevel"/>
    <w:tmpl w:val="AD3C4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2058B5"/>
    <w:multiLevelType w:val="hybridMultilevel"/>
    <w:tmpl w:val="9B0C9C0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DE01EB"/>
    <w:multiLevelType w:val="multilevel"/>
    <w:tmpl w:val="CDAA6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3B5442"/>
    <w:multiLevelType w:val="multilevel"/>
    <w:tmpl w:val="30FA556A"/>
    <w:lvl w:ilvl="0">
      <w:start w:val="1"/>
      <w:numFmt w:val="decimal"/>
      <w:lvlText w:val="%1.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B26C45"/>
    <w:multiLevelType w:val="multilevel"/>
    <w:tmpl w:val="E4924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593143"/>
    <w:multiLevelType w:val="multilevel"/>
    <w:tmpl w:val="931890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A52C02"/>
    <w:multiLevelType w:val="multilevel"/>
    <w:tmpl w:val="E4924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7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FE1"/>
    <w:rsid w:val="002E012A"/>
    <w:rsid w:val="00356DED"/>
    <w:rsid w:val="003D62C4"/>
    <w:rsid w:val="005F014D"/>
    <w:rsid w:val="00786FE1"/>
    <w:rsid w:val="0081353E"/>
    <w:rsid w:val="0082459B"/>
    <w:rsid w:val="0089555D"/>
    <w:rsid w:val="008F6D70"/>
    <w:rsid w:val="00A211EF"/>
    <w:rsid w:val="00A22337"/>
    <w:rsid w:val="00A27645"/>
    <w:rsid w:val="00A94AA5"/>
    <w:rsid w:val="00AA0880"/>
    <w:rsid w:val="00B43835"/>
    <w:rsid w:val="00CC75D3"/>
    <w:rsid w:val="00D3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E69925-8820-4B6E-91AB-ADDCAA1E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3662"/>
    <w:pPr>
      <w:widowControl/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1"/>
      <w:szCs w:val="31"/>
      <w:u w:val="none"/>
    </w:rPr>
  </w:style>
  <w:style w:type="character" w:customStyle="1" w:styleId="21">
    <w:name w:val="Основной текст (2)_"/>
    <w:basedOn w:val="a0"/>
    <w:link w:val="2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pacing w:val="2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Calibri12pt1pt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Calibri12pt1pt0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pt">
    <w:name w:val="Основной текст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80" w:after="7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1"/>
      <w:szCs w:val="3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0" w:lineRule="atLeast"/>
      <w:jc w:val="center"/>
    </w:pPr>
    <w:rPr>
      <w:rFonts w:ascii="Franklin Gothic Medium Cond" w:eastAsia="Franklin Gothic Medium Cond" w:hAnsi="Franklin Gothic Medium Cond" w:cs="Franklin Gothic Medium Cond"/>
      <w:spacing w:val="20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0" w:lineRule="atLeast"/>
      <w:jc w:val="right"/>
    </w:pPr>
    <w:rPr>
      <w:rFonts w:ascii="Calibri" w:eastAsia="Calibri" w:hAnsi="Calibri" w:cs="Calibri"/>
      <w:sz w:val="10"/>
      <w:szCs w:val="1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D33662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D33662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a8">
    <w:name w:val="caption"/>
    <w:basedOn w:val="a"/>
    <w:next w:val="a"/>
    <w:semiHidden/>
    <w:unhideWhenUsed/>
    <w:qFormat/>
    <w:rsid w:val="00D33662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436-ПП</vt:lpstr>
    </vt:vector>
  </TitlesOfParts>
  <Company/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436-ПП</dc:title>
  <dc:subject/>
  <dc:creator>*</dc:creator>
  <cp:keywords/>
  <cp:lastModifiedBy>*</cp:lastModifiedBy>
  <cp:revision>3</cp:revision>
  <dcterms:created xsi:type="dcterms:W3CDTF">2022-10-17T07:19:00Z</dcterms:created>
  <dcterms:modified xsi:type="dcterms:W3CDTF">2022-10-17T07:19:00Z</dcterms:modified>
</cp:coreProperties>
</file>