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20"/>
          <w:tab w:val="left" w:pos="4995" w:leader="none"/>
        </w:tabs>
        <w:ind w:left="5040" w:hanging="0"/>
        <w:jc w:val="both"/>
        <w:rPr/>
      </w:pPr>
      <w:r>
        <w:rPr/>
        <w:t>УТВЕРЖДЕН</w:t>
      </w:r>
    </w:p>
    <w:p>
      <w:pPr>
        <w:pStyle w:val="Normal"/>
        <w:tabs>
          <w:tab w:val="clear" w:pos="720"/>
          <w:tab w:val="left" w:pos="4995" w:leader="none"/>
        </w:tabs>
        <w:ind w:left="5040" w:hanging="0"/>
        <w:jc w:val="both"/>
        <w:rPr/>
      </w:pPr>
      <w:r>
        <w:rPr/>
        <w:t>постановлением Главы</w:t>
      </w:r>
    </w:p>
    <w:p>
      <w:pPr>
        <w:pStyle w:val="Normal"/>
        <w:tabs>
          <w:tab w:val="clear" w:pos="720"/>
          <w:tab w:val="left" w:pos="4995" w:leader="none"/>
        </w:tabs>
        <w:ind w:left="5040" w:hanging="0"/>
        <w:jc w:val="both"/>
        <w:rPr/>
      </w:pPr>
      <w:r>
        <w:rPr/>
        <w:t>Каменского городского округа</w:t>
      </w:r>
    </w:p>
    <w:p>
      <w:pPr>
        <w:pStyle w:val="Normal"/>
        <w:tabs>
          <w:tab w:val="clear" w:pos="720"/>
          <w:tab w:val="left" w:pos="4995" w:leader="none"/>
        </w:tabs>
        <w:ind w:left="5040" w:hanging="0"/>
        <w:jc w:val="both"/>
        <w:rPr/>
      </w:pPr>
      <w:r>
        <w:rPr/>
        <w:t>от _____________№_________</w:t>
      </w:r>
    </w:p>
    <w:p>
      <w:pPr>
        <w:pStyle w:val="Normal"/>
        <w:tabs>
          <w:tab w:val="clear" w:pos="720"/>
          <w:tab w:val="left" w:pos="4995" w:leader="none"/>
        </w:tabs>
        <w:spacing w:lineRule="atLeast" w:line="283"/>
        <w:ind w:left="5040" w:hanging="0"/>
        <w:jc w:val="both"/>
        <w:rPr/>
      </w:pPr>
      <w:r>
        <w:rPr/>
        <w:t>«Об утверждении Порядка расходования</w:t>
      </w:r>
    </w:p>
    <w:p>
      <w:pPr>
        <w:pStyle w:val="Normal"/>
        <w:tabs>
          <w:tab w:val="clear" w:pos="720"/>
          <w:tab w:val="left" w:pos="165" w:leader="none"/>
          <w:tab w:val="left" w:pos="4995" w:leader="none"/>
        </w:tabs>
        <w:spacing w:lineRule="atLeast" w:line="283"/>
        <w:ind w:left="5040" w:hanging="0"/>
        <w:jc w:val="both"/>
        <w:rPr/>
      </w:pPr>
      <w:r>
        <w:rPr/>
        <w:t>средств, выделенных из резервного</w:t>
      </w:r>
    </w:p>
    <w:p>
      <w:pPr>
        <w:pStyle w:val="Normal"/>
        <w:tabs>
          <w:tab w:val="clear" w:pos="720"/>
          <w:tab w:val="left" w:pos="4995" w:leader="none"/>
        </w:tabs>
        <w:spacing w:lineRule="atLeast" w:line="283"/>
        <w:ind w:left="5040" w:hanging="0"/>
        <w:rPr/>
      </w:pPr>
      <w:r>
        <w:rPr/>
        <w:t>фонда Правительства Свердловской</w:t>
      </w:r>
    </w:p>
    <w:p>
      <w:pPr>
        <w:pStyle w:val="Normal"/>
        <w:tabs>
          <w:tab w:val="clear" w:pos="720"/>
          <w:tab w:val="left" w:pos="4995" w:leader="none"/>
        </w:tabs>
        <w:spacing w:lineRule="atLeast" w:line="283"/>
        <w:ind w:left="5040" w:hanging="0"/>
        <w:rPr/>
      </w:pPr>
      <w:r>
        <w:rPr/>
        <w:t>области для предоставления иного</w:t>
      </w:r>
    </w:p>
    <w:p>
      <w:pPr>
        <w:pStyle w:val="Normal"/>
        <w:tabs>
          <w:tab w:val="clear" w:pos="720"/>
          <w:tab w:val="left" w:pos="4995" w:leader="none"/>
        </w:tabs>
        <w:spacing w:lineRule="atLeast" w:line="283"/>
        <w:ind w:left="5040" w:hanging="0"/>
        <w:rPr/>
      </w:pPr>
      <w:r>
        <w:rPr/>
        <w:t>межбюджетного трансферта</w:t>
      </w:r>
    </w:p>
    <w:p>
      <w:pPr>
        <w:pStyle w:val="Normal"/>
        <w:tabs>
          <w:tab w:val="clear" w:pos="720"/>
          <w:tab w:val="left" w:pos="4995" w:leader="none"/>
        </w:tabs>
        <w:spacing w:lineRule="atLeast" w:line="283"/>
        <w:ind w:left="5040" w:hanging="0"/>
        <w:rPr/>
      </w:pPr>
      <w:r>
        <w:rPr/>
        <w:t>бюджету Каменского городского</w:t>
      </w:r>
    </w:p>
    <w:p>
      <w:pPr>
        <w:pStyle w:val="Normal"/>
        <w:tabs>
          <w:tab w:val="clear" w:pos="720"/>
          <w:tab w:val="left" w:pos="4995" w:leader="none"/>
        </w:tabs>
        <w:ind w:left="5040" w:hanging="0"/>
        <w:rPr/>
      </w:pPr>
      <w:r>
        <w:rPr/>
        <w:t>округа на приобретение</w:t>
      </w:r>
    </w:p>
    <w:p>
      <w:pPr>
        <w:pStyle w:val="Normal"/>
        <w:tabs>
          <w:tab w:val="clear" w:pos="720"/>
          <w:tab w:val="left" w:pos="4995" w:leader="none"/>
        </w:tabs>
        <w:ind w:left="5040" w:hanging="0"/>
        <w:rPr/>
      </w:pPr>
      <w:r>
        <w:rPr/>
        <w:t>музыкальной аппаратуры для</w:t>
      </w:r>
    </w:p>
    <w:p>
      <w:pPr>
        <w:pStyle w:val="Normal"/>
        <w:tabs>
          <w:tab w:val="clear" w:pos="720"/>
          <w:tab w:val="left" w:pos="4995" w:leader="none"/>
        </w:tabs>
        <w:ind w:left="5040" w:hanging="0"/>
        <w:rPr/>
      </w:pPr>
      <w:r>
        <w:rPr/>
        <w:t>МУНИЦИПАЛЬНОГО БЮДЖЕТНОГО</w:t>
      </w:r>
    </w:p>
    <w:p>
      <w:pPr>
        <w:pStyle w:val="Normal"/>
        <w:ind w:left="5040" w:hanging="0"/>
        <w:rPr/>
      </w:pPr>
      <w:r>
        <w:rPr/>
        <w:t>УЧРЕЖДЕНИЯ КУЛЬТУРЫ</w:t>
      </w:r>
    </w:p>
    <w:p>
      <w:pPr>
        <w:pStyle w:val="Normal"/>
        <w:tabs>
          <w:tab w:val="clear" w:pos="720"/>
          <w:tab w:val="left" w:pos="4995" w:leader="none"/>
        </w:tabs>
        <w:ind w:left="5040" w:hanging="0"/>
        <w:rPr/>
      </w:pPr>
      <w:r>
        <w:rPr/>
        <w:t>«КУЛЬТУРНО-ДОСУГОВЫЙ ЦЕНТР</w:t>
      </w:r>
    </w:p>
    <w:p>
      <w:pPr>
        <w:pStyle w:val="Normal"/>
        <w:tabs>
          <w:tab w:val="clear" w:pos="720"/>
          <w:tab w:val="left" w:pos="4995" w:leader="none"/>
        </w:tabs>
        <w:ind w:left="5040" w:hanging="0"/>
        <w:rPr/>
      </w:pPr>
      <w:r>
        <w:rPr/>
        <w:t>КАМЕНСКОГО ГРОДСКОГО ОКРУГА»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 xml:space="preserve">Порядок расходования средств, выделенных из резервного фонда Правительства Свердловской области для предоставления иного межбюджетного трансферта бюджету Каменского городского округа на приобретение музыкальной аппаратуры для МУНИЦИПАЛЬНОГО БЮДЖЕТНОГО УЧРЕЖДЕНИЯ КУЛЬТУРЫ «КУЛЬТУРНО-ДОСУГОВЫЙ ЦЕНТР КАМЕНСКОГО ГОРОДСКОГО ОКРУГА» 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both"/>
        <w:rPr/>
      </w:pPr>
      <w:r>
        <w:rPr/>
        <w:t>1. Порядок расходования средств, выделенных  из резервного фонда Правительства Свердловской области для предоставления иного межбюджетного трансферта бюджету Каменского городского округа на приобретение музыкальной аппаратуры для  МУНИЦИПАЛЬНОГО БЮДЖЕТНОГО УЧРЕЖДЕНИЯ КУЛЬТУРЫ «КУЛЬТУРНО-ДОСУГОВЫЙ ЦЕНТР КАМЕНСКОГО ГОРОДСКОГО ОКРУГА», разработан в соответствии с Порядком использования бюджетных ассигнований резервного фонда Правительства Свердловской области, утвержденного постановлением Правительства Свердловской области от 06.02.2007г. № 75-ПП «Об утверждении Порядка использования бюджетных ассигнований резервного фонда Правительства Свердловской области», на основании Распоряжения Правительства Свердловской области от 04.10.2022 № 590-РП «О выделении средств из резервного фонда Правительства Свердловской области для предоставления иного межбюджетного трансферта бюджету Каменского городского округа».</w:t>
      </w:r>
    </w:p>
    <w:p>
      <w:pPr>
        <w:pStyle w:val="Normal"/>
        <w:jc w:val="both"/>
        <w:rPr/>
      </w:pPr>
      <w:r>
        <w:rPr/>
        <w:t>2. Главным распорядителем денежных средств, выделенных из резервного фонда Правительства Свердловской области, является Управление культуры, спорта и делам молодежи Администрации муниципального образования «Каменский городской округ».</w:t>
      </w:r>
    </w:p>
    <w:p>
      <w:pPr>
        <w:pStyle w:val="Normal"/>
        <w:jc w:val="both"/>
        <w:rPr/>
      </w:pPr>
      <w:r>
        <w:rPr/>
        <w:t>3. Выделенные Распоряжением Правительства Свердловской области от 04.10.2022 № 590-РП денежные средства в сумме 302 160</w:t>
      </w:r>
      <w:r>
        <w:rPr>
          <w:b/>
          <w:i/>
        </w:rPr>
        <w:t xml:space="preserve"> </w:t>
      </w:r>
      <w:r>
        <w:rPr/>
        <w:t>(триста две тысячи сто шестьдесят) рублей направляются на приобретение музыкальной аппаратуры для МУНИЦИПАЛЬНОГО БЮДЖЕТНОГО УЧРЕЖДЕНИЯ КУЛЬТУРЫ «КУЛЬТУРНО-ДОСУГОВЫЙ ЦЕНТР КАМЕНСКОГО   ГОРОДСКОГО   ОКРУГА».</w:t>
      </w:r>
    </w:p>
    <w:p>
      <w:pPr>
        <w:pStyle w:val="Normal"/>
        <w:jc w:val="both"/>
        <w:rPr/>
      </w:pPr>
      <w:r>
        <w:rPr/>
        <w:t>4. Средства областного бюджета, выделенные из резервного фонда Свердловской области, подлежат использованию строго по целевому назначению, определенному   Распоряжением</w:t>
      </w:r>
    </w:p>
    <w:p>
      <w:pPr>
        <w:pStyle w:val="Normal"/>
        <w:jc w:val="both"/>
        <w:rPr/>
      </w:pPr>
      <w:r>
        <w:rPr/>
        <w:t>Правительства Свердловской области от 04.10.2022 № 590-РП, и не могут быть направлены на иные цели.</w:t>
      </w:r>
    </w:p>
    <w:p>
      <w:pPr>
        <w:pStyle w:val="Normal"/>
        <w:jc w:val="both"/>
        <w:rPr/>
      </w:pPr>
      <w:r>
        <w:rPr/>
        <w:t>При не полном использовании средств, имеющих целевое назначение, экономия не может быть направлена на иные цели и подлежит возврату в областной бюджет.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/>
        <w:t>2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both"/>
        <w:rPr/>
      </w:pPr>
      <w:r>
        <w:rPr/>
        <w:t>5. Не целевое использование средств, полученных из резервного фонда Правительства Свердловской области, влечет применение мер ответственности, предусмотренных административным, уголовным, бюджетным законодательством.</w:t>
      </w:r>
    </w:p>
    <w:p>
      <w:pPr>
        <w:pStyle w:val="Normal"/>
        <w:jc w:val="both"/>
        <w:rPr/>
      </w:pPr>
      <w:r>
        <w:rPr/>
        <w:t>6. Управление культуры, спорта и делам молодежи Администрации муниципального образования «Каменский городской округ» представляет главному распорядителю средств областного бюджета, выделившему межбюджетные трансферты, отчет (форма прилагается) об использовании бюджетных ассигнований резервного фонда Правительства Свердловской области с приложением заверенных Управлением культуры, спорта и делам молодежи Администрации Каменского городского округа копий первичных учетных документов, подтверждающих поставку товаров, выполнение работ, оказание услуги их стоимость. К отчету прилагается пояснительная записка с описанием результата использования средств, полученных из резервного фонда Правительства Свердловской области, с приведением количественных показателей.</w:t>
      </w:r>
    </w:p>
    <w:p>
      <w:pPr>
        <w:pStyle w:val="Normal"/>
        <w:jc w:val="both"/>
        <w:rPr/>
      </w:pPr>
      <w:r>
        <w:rPr/>
        <w:t>7. Контроль целевого использования средств, выделенных из резервного фонда Правительства Свердловской области бюджету муниципального образования «Каменский городской округ» осуществляется Финансовым управлением Администрации Каменского городского округа и Управлением культуры, спорта и делам молодежи Администрации муниципального образования «Каменский городской округ».</w:t>
      </w:r>
    </w:p>
    <w:p>
      <w:pPr>
        <w:pStyle w:val="Normal"/>
        <w:jc w:val="both"/>
        <w:rPr/>
      </w:pPr>
      <w:r>
        <w:rPr/>
        <w:t xml:space="preserve">        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20"/>
          <w:tab w:val="left" w:pos="4995" w:leader="none"/>
        </w:tabs>
        <w:jc w:val="both"/>
        <w:rPr/>
      </w:pPr>
      <w:r>
        <w:rPr/>
      </w:r>
    </w:p>
    <w:p>
      <w:pPr>
        <w:pStyle w:val="Normal"/>
        <w:tabs>
          <w:tab w:val="clear" w:pos="720"/>
          <w:tab w:val="left" w:pos="4995" w:leader="none"/>
        </w:tabs>
        <w:ind w:left="5760" w:hanging="0"/>
        <w:jc w:val="both"/>
        <w:rPr/>
      </w:pPr>
      <w:r>
        <w:rPr/>
        <w:t>Приложение к Порядку расходования</w:t>
      </w:r>
    </w:p>
    <w:p>
      <w:pPr>
        <w:pStyle w:val="Normal"/>
        <w:tabs>
          <w:tab w:val="clear" w:pos="720"/>
          <w:tab w:val="left" w:pos="4995" w:leader="none"/>
        </w:tabs>
        <w:ind w:left="5760" w:hanging="0"/>
        <w:jc w:val="both"/>
        <w:rPr/>
      </w:pPr>
      <w:r>
        <w:rPr/>
        <w:t>средств, выделенных из резервного</w:t>
      </w:r>
    </w:p>
    <w:p>
      <w:pPr>
        <w:pStyle w:val="Normal"/>
        <w:tabs>
          <w:tab w:val="clear" w:pos="720"/>
          <w:tab w:val="left" w:pos="4995" w:leader="none"/>
        </w:tabs>
        <w:ind w:left="5760" w:hanging="0"/>
        <w:rPr/>
      </w:pPr>
      <w:r>
        <w:rPr/>
        <w:t>фонда Правительства Свердловской</w:t>
      </w:r>
    </w:p>
    <w:p>
      <w:pPr>
        <w:pStyle w:val="Normal"/>
        <w:tabs>
          <w:tab w:val="clear" w:pos="720"/>
          <w:tab w:val="left" w:pos="4995" w:leader="none"/>
        </w:tabs>
        <w:ind w:left="5760" w:hanging="0"/>
        <w:rPr/>
      </w:pPr>
      <w:r>
        <w:rPr/>
        <w:t>области для предоставления иного</w:t>
      </w:r>
    </w:p>
    <w:p>
      <w:pPr>
        <w:pStyle w:val="Normal"/>
        <w:tabs>
          <w:tab w:val="clear" w:pos="720"/>
          <w:tab w:val="left" w:pos="4995" w:leader="none"/>
        </w:tabs>
        <w:ind w:left="5760" w:hanging="0"/>
        <w:rPr/>
      </w:pPr>
      <w:r>
        <w:rPr/>
        <w:t>межбюджетного трансферта</w:t>
      </w:r>
    </w:p>
    <w:p>
      <w:pPr>
        <w:pStyle w:val="Normal"/>
        <w:tabs>
          <w:tab w:val="clear" w:pos="720"/>
          <w:tab w:val="left" w:pos="4995" w:leader="none"/>
        </w:tabs>
        <w:ind w:left="5760" w:hanging="0"/>
        <w:rPr/>
      </w:pPr>
      <w:r>
        <w:rPr/>
        <w:t>бюджету Каменского городского</w:t>
      </w:r>
    </w:p>
    <w:p>
      <w:pPr>
        <w:pStyle w:val="Normal"/>
        <w:tabs>
          <w:tab w:val="clear" w:pos="720"/>
          <w:tab w:val="left" w:pos="4995" w:leader="none"/>
        </w:tabs>
        <w:ind w:left="5760" w:hanging="0"/>
        <w:rPr/>
      </w:pPr>
      <w:r>
        <w:rPr/>
        <w:t>округа на приобретение музыкальной</w:t>
      </w:r>
    </w:p>
    <w:p>
      <w:pPr>
        <w:pStyle w:val="Normal"/>
        <w:tabs>
          <w:tab w:val="clear" w:pos="720"/>
          <w:tab w:val="left" w:pos="4995" w:leader="none"/>
        </w:tabs>
        <w:ind w:left="5760" w:hanging="0"/>
        <w:rPr/>
      </w:pPr>
      <w:r>
        <w:rPr/>
        <w:t>аппаратуры для</w:t>
      </w:r>
    </w:p>
    <w:p>
      <w:pPr>
        <w:pStyle w:val="Normal"/>
        <w:tabs>
          <w:tab w:val="clear" w:pos="720"/>
          <w:tab w:val="left" w:pos="4995" w:leader="none"/>
        </w:tabs>
        <w:ind w:left="5760" w:hanging="0"/>
        <w:rPr/>
      </w:pPr>
      <w:r>
        <w:rPr/>
        <w:t>МУНИЦИПАЛЬНОГО БЮДЖЕТНОГО</w:t>
      </w:r>
    </w:p>
    <w:p>
      <w:pPr>
        <w:pStyle w:val="Normal"/>
        <w:tabs>
          <w:tab w:val="clear" w:pos="720"/>
          <w:tab w:val="left" w:pos="4995" w:leader="none"/>
        </w:tabs>
        <w:ind w:left="5760" w:hanging="0"/>
        <w:rPr/>
      </w:pPr>
      <w:r>
        <w:rPr/>
        <w:t xml:space="preserve">УЧРЕЖДЕНИЯ КУЛЬТУРЫ </w:t>
      </w:r>
    </w:p>
    <w:p>
      <w:pPr>
        <w:pStyle w:val="Normal"/>
        <w:tabs>
          <w:tab w:val="clear" w:pos="720"/>
          <w:tab w:val="left" w:pos="4995" w:leader="none"/>
        </w:tabs>
        <w:ind w:left="5760" w:hanging="0"/>
        <w:rPr/>
      </w:pPr>
      <w:r>
        <w:rPr/>
        <w:t>«КУЛЬТУРНО-ДОСУГОВЫЙ ЦЕНТР</w:t>
      </w:r>
    </w:p>
    <w:p>
      <w:pPr>
        <w:pStyle w:val="Normal"/>
        <w:tabs>
          <w:tab w:val="clear" w:pos="720"/>
          <w:tab w:val="left" w:pos="4995" w:leader="none"/>
        </w:tabs>
        <w:ind w:left="5760" w:hanging="0"/>
        <w:rPr/>
      </w:pPr>
      <w:r>
        <w:rPr/>
        <w:t>КАМЕНСКОГО ГОРОДСКОГО ОКРУГА»</w:t>
      </w:r>
    </w:p>
    <w:p>
      <w:pPr>
        <w:pStyle w:val="Normal"/>
        <w:tabs>
          <w:tab w:val="clear" w:pos="720"/>
          <w:tab w:val="left" w:pos="499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499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4995" w:leader="none"/>
        </w:tabs>
        <w:rPr/>
      </w:pPr>
      <w:r>
        <w:rPr/>
        <w:t>ФОРМА</w:t>
      </w:r>
    </w:p>
    <w:p>
      <w:pPr>
        <w:pStyle w:val="Normal"/>
        <w:tabs>
          <w:tab w:val="clear" w:pos="720"/>
          <w:tab w:val="left" w:pos="4995" w:leader="none"/>
        </w:tabs>
        <w:rPr/>
      </w:pPr>
      <w:r>
        <w:rPr/>
      </w:r>
    </w:p>
    <w:p>
      <w:pPr>
        <w:pStyle w:val="Normal"/>
        <w:tabs>
          <w:tab w:val="clear" w:pos="720"/>
          <w:tab w:val="left" w:pos="4995" w:leader="none"/>
        </w:tabs>
        <w:jc w:val="center"/>
        <w:rPr/>
      </w:pPr>
      <w:r>
        <w:rPr/>
        <w:t>ОТЧЕТ</w:t>
      </w:r>
    </w:p>
    <w:p>
      <w:pPr>
        <w:pStyle w:val="Normal"/>
        <w:tabs>
          <w:tab w:val="clear" w:pos="720"/>
          <w:tab w:val="left" w:pos="4995" w:leader="none"/>
        </w:tabs>
        <w:jc w:val="center"/>
        <w:rPr/>
      </w:pPr>
      <w:r>
        <w:rPr/>
        <w:t>ОБ ИСПОЛЬЗОВАНИИ БЮДЖЕТНЫХ АССИГНОВАНИЙ РЕЗЕРВНОГО ФОНДА</w:t>
      </w:r>
    </w:p>
    <w:p>
      <w:pPr>
        <w:pStyle w:val="Normal"/>
        <w:tabs>
          <w:tab w:val="clear" w:pos="720"/>
          <w:tab w:val="left" w:pos="4995" w:leader="none"/>
        </w:tabs>
        <w:jc w:val="center"/>
        <w:rPr/>
      </w:pPr>
      <w:r>
        <w:rPr/>
        <w:t>ПРАВИТЕЛЬСТВА СВЕРДЛОВСКОЙ ОБЛАСТИ</w:t>
      </w:r>
    </w:p>
    <w:p>
      <w:pPr>
        <w:pStyle w:val="Normal"/>
        <w:tabs>
          <w:tab w:val="clear" w:pos="720"/>
          <w:tab w:val="left" w:pos="4995" w:leader="none"/>
        </w:tabs>
        <w:jc w:val="center"/>
        <w:rPr/>
      </w:pPr>
      <w:r>
        <w:rPr/>
        <w:t>ЗА _____________________ГОДА</w:t>
      </w:r>
    </w:p>
    <w:p>
      <w:pPr>
        <w:pStyle w:val="Normal"/>
        <w:tabs>
          <w:tab w:val="clear" w:pos="720"/>
          <w:tab w:val="left" w:pos="4995" w:leader="none"/>
        </w:tabs>
        <w:jc w:val="center"/>
        <w:rPr/>
      </w:pPr>
      <w:r>
        <w:rPr/>
        <w:t>(ПЕРИОД)</w:t>
      </w:r>
    </w:p>
    <w:tbl>
      <w:tblPr>
        <w:tblW w:w="9921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noHBand="0" w:noVBand="0" w:firstColumn="0" w:lastRow="0" w:lastColumn="0" w:firstRow="0"/>
      </w:tblPr>
      <w:tblGrid>
        <w:gridCol w:w="846"/>
        <w:gridCol w:w="768"/>
        <w:gridCol w:w="827"/>
        <w:gridCol w:w="1613"/>
        <w:gridCol w:w="1266"/>
        <w:gridCol w:w="1631"/>
        <w:gridCol w:w="1536"/>
        <w:gridCol w:w="1432"/>
      </w:tblGrid>
      <w:tr>
        <w:trPr/>
        <w:tc>
          <w:tcPr>
            <w:tcW w:w="8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  <w:t>Номер строки</w:t>
            </w:r>
          </w:p>
        </w:tc>
        <w:tc>
          <w:tcPr>
            <w:tcW w:w="15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  <w:t>Распоряжение</w:t>
            </w:r>
          </w:p>
        </w:tc>
        <w:tc>
          <w:tcPr>
            <w:tcW w:w="16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  <w:t>Главный распорядитель средств областного бюджета</w:t>
            </w:r>
          </w:p>
        </w:tc>
        <w:tc>
          <w:tcPr>
            <w:tcW w:w="12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  <w:t>Целевое назначение</w:t>
            </w:r>
          </w:p>
        </w:tc>
        <w:tc>
          <w:tcPr>
            <w:tcW w:w="16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  <w:t>Сумма по распоряжению (рублей)</w:t>
            </w:r>
          </w:p>
        </w:tc>
        <w:tc>
          <w:tcPr>
            <w:tcW w:w="15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  <w:t>Бюджетные ассигнования в соответствии со сводной бюджетной росписью (рублей)</w:t>
            </w:r>
          </w:p>
        </w:tc>
        <w:tc>
          <w:tcPr>
            <w:tcW w:w="14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  <w:t>Кассовое исполнение областного бюджета (рублей)</w:t>
            </w:r>
          </w:p>
        </w:tc>
      </w:tr>
      <w:tr>
        <w:trPr/>
        <w:tc>
          <w:tcPr>
            <w:tcW w:w="84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  <w:tc>
          <w:tcPr>
            <w:tcW w:w="76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  <w:t>дата</w:t>
            </w:r>
          </w:p>
        </w:tc>
        <w:tc>
          <w:tcPr>
            <w:tcW w:w="8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  <w:t>номер</w:t>
            </w:r>
          </w:p>
        </w:tc>
        <w:tc>
          <w:tcPr>
            <w:tcW w:w="1613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  <w:tc>
          <w:tcPr>
            <w:tcW w:w="126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  <w:tc>
          <w:tcPr>
            <w:tcW w:w="16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  <w:tc>
          <w:tcPr>
            <w:tcW w:w="153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  <w:tc>
          <w:tcPr>
            <w:tcW w:w="143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  <w:t>1</w:t>
            </w:r>
          </w:p>
        </w:tc>
        <w:tc>
          <w:tcPr>
            <w:tcW w:w="76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  <w:t>2</w:t>
            </w:r>
          </w:p>
        </w:tc>
        <w:tc>
          <w:tcPr>
            <w:tcW w:w="8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  <w:t>3</w:t>
            </w:r>
          </w:p>
        </w:tc>
        <w:tc>
          <w:tcPr>
            <w:tcW w:w="16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  <w:t>4</w:t>
            </w:r>
          </w:p>
        </w:tc>
        <w:tc>
          <w:tcPr>
            <w:tcW w:w="126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  <w:t>5</w:t>
            </w:r>
          </w:p>
        </w:tc>
        <w:tc>
          <w:tcPr>
            <w:tcW w:w="16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  <w:t>6</w:t>
            </w:r>
          </w:p>
        </w:tc>
        <w:tc>
          <w:tcPr>
            <w:tcW w:w="15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  <w:t>7</w:t>
            </w:r>
          </w:p>
        </w:tc>
        <w:tc>
          <w:tcPr>
            <w:tcW w:w="14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  <w:t>8</w:t>
            </w:r>
          </w:p>
        </w:tc>
      </w:tr>
      <w:tr>
        <w:trPr/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  <w:tc>
          <w:tcPr>
            <w:tcW w:w="76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  <w:tc>
          <w:tcPr>
            <w:tcW w:w="8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  <w:tc>
          <w:tcPr>
            <w:tcW w:w="16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  <w:tc>
          <w:tcPr>
            <w:tcW w:w="126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  <w:tc>
          <w:tcPr>
            <w:tcW w:w="15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  <w:tc>
          <w:tcPr>
            <w:tcW w:w="14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  <w:tc>
          <w:tcPr>
            <w:tcW w:w="76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  <w:tc>
          <w:tcPr>
            <w:tcW w:w="8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  <w:tc>
          <w:tcPr>
            <w:tcW w:w="16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  <w:tc>
          <w:tcPr>
            <w:tcW w:w="126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  <w:tc>
          <w:tcPr>
            <w:tcW w:w="15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  <w:tc>
          <w:tcPr>
            <w:tcW w:w="14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  <w:tc>
          <w:tcPr>
            <w:tcW w:w="76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  <w:tc>
          <w:tcPr>
            <w:tcW w:w="82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  <w:tc>
          <w:tcPr>
            <w:tcW w:w="161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  <w:tc>
          <w:tcPr>
            <w:tcW w:w="126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  <w:tc>
          <w:tcPr>
            <w:tcW w:w="16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  <w:tc>
          <w:tcPr>
            <w:tcW w:w="15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  <w:tc>
          <w:tcPr>
            <w:tcW w:w="14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320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rPr/>
            </w:pPr>
            <w:r>
              <w:rPr/>
              <w:t>Итого</w:t>
            </w:r>
          </w:p>
        </w:tc>
        <w:tc>
          <w:tcPr>
            <w:tcW w:w="16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  <w:tc>
          <w:tcPr>
            <w:tcW w:w="153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  <w:tc>
          <w:tcPr>
            <w:tcW w:w="14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jc w:val="center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20"/>
          <w:tab w:val="left" w:pos="499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4995" w:leader="none"/>
        </w:tabs>
        <w:jc w:val="center"/>
        <w:rPr/>
      </w:pPr>
      <w:r>
        <w:rPr/>
      </w:r>
    </w:p>
    <w:p>
      <w:pPr>
        <w:pStyle w:val="Normal"/>
        <w:tabs>
          <w:tab w:val="clear" w:pos="720"/>
          <w:tab w:val="left" w:pos="4995" w:leader="none"/>
        </w:tabs>
        <w:jc w:val="both"/>
        <w:rPr/>
      </w:pPr>
      <w:r>
        <w:rPr/>
        <w:t>Руководитель_______________  ____________________________</w:t>
      </w:r>
    </w:p>
    <w:p>
      <w:pPr>
        <w:pStyle w:val="Normal"/>
        <w:tabs>
          <w:tab w:val="clear" w:pos="720"/>
          <w:tab w:val="left" w:pos="4995" w:leader="none"/>
        </w:tabs>
        <w:jc w:val="both"/>
        <w:rPr/>
      </w:pPr>
      <w:r>
        <w:rPr/>
        <w:t xml:space="preserve">                               </w:t>
      </w:r>
      <w:r>
        <w:rPr/>
        <w:t>(подпись)</w:t>
      </w:r>
      <w:bookmarkStart w:id="0" w:name="_GoBack"/>
      <w:bookmarkEnd w:id="0"/>
      <w:r>
        <w:rPr/>
        <w:t xml:space="preserve">           (расшифровка подписи)</w:t>
      </w:r>
    </w:p>
    <w:sectPr>
      <w:type w:val="nextPage"/>
      <w:pgSz w:w="11906" w:h="16838"/>
      <w:pgMar w:left="1200" w:right="737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9"/>
    <w:uiPriority w:val="99"/>
    <w:semiHidden/>
    <w:qFormat/>
    <w:rsid w:val="00ba4f37"/>
    <w:rPr>
      <w:rFonts w:ascii="Segoe UI" w:hAnsi="Segoe UI" w:cs="Mangal"/>
      <w:sz w:val="18"/>
      <w:szCs w:val="16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Noto Sans CJK SC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/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Style20" w:customStyle="1">
    <w:name w:val="Содержимое таблицы"/>
    <w:basedOn w:val="Normal"/>
    <w:qFormat/>
    <w:pPr>
      <w:suppressLineNumbers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ba4f37"/>
    <w:pPr/>
    <w:rPr>
      <w:rFonts w:ascii="Segoe UI" w:hAnsi="Segoe UI" w:cs="Mangal"/>
      <w:sz w:val="18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LibreOffice/6.4.7.2$Linux_X86_64 LibreOffice_project/40$Build-2</Application>
  <Pages>5</Pages>
  <Words>522</Words>
  <Characters>4338</Characters>
  <CharactersWithSpaces>4857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2022-10-07T06:55:00Z</dcterms:created>
  <dc:creator>Элемент</dc:creator>
  <dc:description/>
  <dc:language>ru-RU</dc:language>
  <cp:lastModifiedBy>Элемент</cp:lastModifiedBy>
  <cp:lastPrinted>2022-10-07T06:54:00Z</cp:lastPrinted>
  <dcterms:modified xsi:type="dcterms:W3CDTF">2022-10-07T06:55:00Z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